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31.2" w:lineRule="auto"/>
        <w:jc w:val="center"/>
        <w:rPr/>
      </w:pPr>
      <w:bookmarkStart w:colFirst="0" w:colLast="0" w:name="_i593pkn95kc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331.2" w:lineRule="auto"/>
        <w:jc w:val="center"/>
        <w:rPr/>
      </w:pPr>
      <w:bookmarkStart w:colFirst="0" w:colLast="0" w:name="_gh4ubmbxcc9n" w:id="1"/>
      <w:bookmarkEnd w:id="1"/>
      <w:r w:rsidDel="00000000" w:rsidR="00000000" w:rsidRPr="00000000">
        <w:rPr>
          <w:rtl w:val="0"/>
        </w:rPr>
        <w:t xml:space="preserve">ITCR Monthly Meeting</w:t>
      </w:r>
    </w:p>
    <w:p w:rsidR="00000000" w:rsidDel="00000000" w:rsidP="00000000" w:rsidRDefault="00000000" w:rsidRPr="00000000" w14:paraId="00000003">
      <w:pPr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February 7, 2020</w:t>
      </w:r>
    </w:p>
    <w:p w:rsidR="00000000" w:rsidDel="00000000" w:rsidP="00000000" w:rsidRDefault="00000000" w:rsidRPr="00000000" w14:paraId="00000004">
      <w:pPr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2:00 - 3:00 pm ET</w:t>
      </w:r>
    </w:p>
    <w:p w:rsidR="00000000" w:rsidDel="00000000" w:rsidP="00000000" w:rsidRDefault="00000000" w:rsidRPr="00000000" w14:paraId="00000005">
      <w:pPr>
        <w:spacing w:line="331.2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31.2" w:lineRule="auto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Join the WebEx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31.2" w:lineRule="auto"/>
        <w:rPr/>
      </w:pPr>
      <w:r w:rsidDel="00000000" w:rsidR="00000000" w:rsidRPr="00000000">
        <w:rPr>
          <w:rtl w:val="0"/>
        </w:rPr>
        <w:t xml:space="preserve">Join by phone:</w:t>
      </w:r>
    </w:p>
    <w:p w:rsidR="00000000" w:rsidDel="00000000" w:rsidP="00000000" w:rsidRDefault="00000000" w:rsidRPr="00000000" w14:paraId="00000008">
      <w:pPr>
        <w:spacing w:line="331.2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1-650-479-3207 Call-in toll number </w:t>
      </w:r>
    </w:p>
    <w:p w:rsidR="00000000" w:rsidDel="00000000" w:rsidP="00000000" w:rsidRDefault="00000000" w:rsidRPr="00000000" w14:paraId="00000009">
      <w:pPr>
        <w:spacing w:line="331.2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3"/>
          <w:szCs w:val="23"/>
          <w:rtl w:val="0"/>
        </w:rPr>
        <w:t xml:space="preserve">Access code: 738 170 557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31.2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Due to the large number of people on the call, attendees will be muted upon entry to the meeting.</w:t>
      </w:r>
      <w:r w:rsidDel="00000000" w:rsidR="00000000" w:rsidRPr="00000000">
        <w:rPr>
          <w:i w:val="1"/>
          <w:sz w:val="24"/>
          <w:szCs w:val="24"/>
          <w:rtl w:val="0"/>
        </w:rPr>
        <w:t xml:space="preserve"> To unmute your phone within WebEx, hover over your name in the Participants list and click on the microphone icon on the far right.</w:t>
      </w:r>
    </w:p>
    <w:p w:rsidR="00000000" w:rsidDel="00000000" w:rsidP="00000000" w:rsidRDefault="00000000" w:rsidRPr="00000000" w14:paraId="0000000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E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100.0" w:type="pct"/>
        <w:tblLayout w:type="fixed"/>
        <w:tblLook w:val="0600"/>
      </w:tblPr>
      <w:tblGrid>
        <w:gridCol w:w="1410"/>
        <w:gridCol w:w="5295"/>
        <w:gridCol w:w="2415"/>
        <w:tblGridChange w:id="0">
          <w:tblGrid>
            <w:gridCol w:w="1410"/>
            <w:gridCol w:w="5295"/>
            <w:gridCol w:w="241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2:00 - 2:10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Updates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88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ITCR FOAs reissued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88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 percent effort requirements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 Klemm</w:t>
            </w:r>
          </w:p>
          <w:p w:rsidR="00000000" w:rsidDel="00000000" w:rsidP="00000000" w:rsidRDefault="00000000" w:rsidRPr="00000000" w14:paraId="00000014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2:10 - 2:30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spacing w:after="100" w:before="100" w:lineRule="auto"/>
              <w:ind w:left="0" w:right="120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Sustainability and Industry Partnership WG Update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8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Notes for all interviews available at </w:t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https://ncihub.org/groups/itcr/sustainability_and_industry_partnership_wg</w:t>
              </w:r>
            </w:hyperlink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after="18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Whitepaper from Phase I of the WG available on arXiv now:</w:t>
            </w:r>
          </w:p>
          <w:p w:rsidR="00000000" w:rsidDel="00000000" w:rsidP="00000000" w:rsidRDefault="00000000" w:rsidRPr="00000000" w14:paraId="00000019">
            <w:pPr>
              <w:spacing w:after="18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highlight w:val="white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800080"/>
                  <w:sz w:val="24"/>
                  <w:szCs w:val="24"/>
                  <w:highlight w:val="white"/>
                  <w:u w:val="single"/>
                  <w:rtl w:val="0"/>
                </w:rPr>
                <w:t xml:space="preserve">https://arxiv.org/abs/1912.12371</w:t>
              </w:r>
            </w:hyperlink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Christos Davatzikos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Gordon Harris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2:30 - 2:45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IMAT-ITCR Collaboration Overview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Raja Mazumder</w:t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Daniel Crichton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2:45 - 3:00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IMAT-ITCR Collaboration Overview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Paul Marjoram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Adjourn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31.2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ITCR Meeting Materials: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https://nciphub.org/groups/itcr/monthly_pi_teleconferences</w:t>
        </w:r>
      </w:hyperlink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9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ITCR Twitter Handle: #nciitcr</w:t>
      </w:r>
    </w:p>
    <w:p w:rsidR="00000000" w:rsidDel="00000000" w:rsidP="00000000" w:rsidRDefault="00000000" w:rsidRPr="00000000" w14:paraId="0000002A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Website: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https://itcr.cancer.gov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331.2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GoogleDocs for past meetings: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https://drive.google.com/drive/folders/0BzGsmNN8MvZqeWViY0xCMmRMTDQ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31.2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When you join the meeting, please enter your name and institution below: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Juli Klemm, NCI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Mervi Heiskanen, NCI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Carol Bult, JAX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Dave Miller, NCI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Joel Saltz, Stony Brook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Raja Mazumder, GW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Paul Marjoram, USc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Fuyong Xing, University of Colorado Anschutz Tom Doak ncgas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Medical Campus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Dan lyman, GW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Corey Arnold, UCLA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Alexej Abyzov, Mayo Clinic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Licong Cui, UTHealth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Beibin Li, University of Washington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Kristen Naegle, University of Virginia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Helen Parkinson, European Bioinformatics Institute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Christos Davatzikos, UPENN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Lee Cooper, Northwestern University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Fusheng Wang, Stony Brook University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Alyson Black (on behalf of Dr. Anand Mehta), Medical University of South Carolina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Rachel Karchin, Johns Hopkins University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Martin Morgan, Roswell Park Comprehensive Cancer Center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John N Weinstein, UT MD Anderson Cancer Center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Gabor Marth, University of Utah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Aaron Quinlan, University of Utah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Guilherme Del Fiol, University of Utah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Jill Mesirov, UCSD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Jeremy Goecks, Oregon Health &amp; Science University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Giuseppe Narzisi, NYGC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Daniel Rubin, Stanford University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Dan Crichton, NASA/JPL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Paul FitzGerald, GE ResearchMichael Reich, UCSD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Jerry Li, NCI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Kai Tan, CHOP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Gordon Harris, MGH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Han Liang MD Anderson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Felix Dietlein (on behalf of Dr. Eliezer Van Allen), DFCI, HMS, Boston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Tim Griffin, U ofMinnesota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Emilie Roncali UCD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Melissa Cline, UC Santa Cruz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Malachi Griffith, WASHU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Helga Thorvaldsdottir, Broad Institute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Simina Boca, Georgetown University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Jan Schuemann, MGH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Jayashree Kalpathy-Cramer, MGH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Anant Madabhushi, Case Western Reserve University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David Hanauer, University of Michigan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Leili Shahriyari, UMass Amherst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Mary Goldman, UC Santa Cruz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Andrey Fedorov, BWH/HMS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Vince Carey, HMS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Bradley Broom, UT MD Anderson Cancer Center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Hiro Yoshida, MGH/HMS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Jun Kong, GSU/Emory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Miguel Ossandon, NCI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drive/folders/0BzGsmNN8MvZqeWViY0xCMmRMTDQ" TargetMode="External"/><Relationship Id="rId10" Type="http://schemas.openxmlformats.org/officeDocument/2006/relationships/hyperlink" Target="https://itcr.cancer.gov" TargetMode="External"/><Relationship Id="rId9" Type="http://schemas.openxmlformats.org/officeDocument/2006/relationships/hyperlink" Target="https://nciphub.org/groups/itcr/monthly_pi_teleconferences" TargetMode="External"/><Relationship Id="rId5" Type="http://schemas.openxmlformats.org/officeDocument/2006/relationships/styles" Target="styles.xml"/><Relationship Id="rId6" Type="http://schemas.openxmlformats.org/officeDocument/2006/relationships/hyperlink" Target="https://cbiit.webex.com/cbiit/j.php?MTID=m792e8a3829c3ac67ea17f080bd5247c5" TargetMode="External"/><Relationship Id="rId7" Type="http://schemas.openxmlformats.org/officeDocument/2006/relationships/hyperlink" Target="https://ncihub.org/groups/itcr/sustainability_and_industry_partnership_wg" TargetMode="External"/><Relationship Id="rId8" Type="http://schemas.openxmlformats.org/officeDocument/2006/relationships/hyperlink" Target="https://arxiv.org/abs/1912.12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